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9F" w:rsidRPr="00B06F9F" w:rsidRDefault="008F3520" w:rsidP="00B06F9F">
      <w:pPr>
        <w:jc w:val="both"/>
        <w:rPr>
          <w:rFonts w:ascii="Calibri" w:hAnsi="Calibri"/>
          <w:b/>
          <w:szCs w:val="24"/>
          <w:u w:val="single"/>
        </w:rPr>
      </w:pPr>
      <w:r w:rsidRPr="008F3520">
        <w:rPr>
          <w:rFonts w:ascii="Calibri" w:hAnsi="Calibri"/>
          <w:b/>
          <w:noProof/>
          <w:szCs w:val="24"/>
          <w:u w:val="single"/>
          <w:lang w:eastAsia="en-GB"/>
        </w:rPr>
        <w:drawing>
          <wp:anchor distT="0" distB="0" distL="114300" distR="114300" simplePos="0" relativeHeight="251659264" behindDoc="0" locked="0" layoutInCell="1" allowOverlap="1">
            <wp:simplePos x="0" y="0"/>
            <wp:positionH relativeFrom="column">
              <wp:posOffset>-275148</wp:posOffset>
            </wp:positionH>
            <wp:positionV relativeFrom="paragraph">
              <wp:posOffset>-373904</wp:posOffset>
            </wp:positionV>
            <wp:extent cx="2875556" cy="636104"/>
            <wp:effectExtent l="19050" t="0" r="994" b="0"/>
            <wp:wrapNone/>
            <wp:docPr id="1"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cstate="print"/>
                    <a:srcRect/>
                    <a:stretch>
                      <a:fillRect/>
                    </a:stretch>
                  </pic:blipFill>
                  <pic:spPr bwMode="auto">
                    <a:xfrm>
                      <a:off x="0" y="0"/>
                      <a:ext cx="2875556" cy="636104"/>
                    </a:xfrm>
                    <a:prstGeom prst="rect">
                      <a:avLst/>
                    </a:prstGeom>
                    <a:noFill/>
                  </pic:spPr>
                </pic:pic>
              </a:graphicData>
            </a:graphic>
          </wp:anchor>
        </w:drawing>
      </w:r>
    </w:p>
    <w:p w:rsidR="008F3520" w:rsidRDefault="008F3520" w:rsidP="007646C1">
      <w:pPr>
        <w:ind w:left="-709" w:right="-625"/>
        <w:jc w:val="center"/>
        <w:rPr>
          <w:rFonts w:ascii="Calibri" w:hAnsi="Calibri" w:cs="Calibri"/>
          <w:b/>
          <w:bCs/>
        </w:rPr>
      </w:pPr>
    </w:p>
    <w:p w:rsidR="00CF769D" w:rsidRDefault="00CF769D" w:rsidP="007646C1">
      <w:pPr>
        <w:ind w:left="-709" w:right="-625"/>
        <w:jc w:val="center"/>
        <w:rPr>
          <w:rFonts w:ascii="Calibri" w:hAnsi="Calibri" w:cs="Calibri"/>
          <w:b/>
          <w:bCs/>
        </w:rPr>
      </w:pPr>
    </w:p>
    <w:p w:rsidR="007646C1" w:rsidRPr="00B20AF3" w:rsidRDefault="00F665FF" w:rsidP="007646C1">
      <w:pPr>
        <w:ind w:left="-709" w:right="-625"/>
        <w:jc w:val="center"/>
        <w:rPr>
          <w:rFonts w:ascii="Calibri" w:hAnsi="Calibri" w:cs="Calibri"/>
          <w:b/>
          <w:bCs/>
        </w:rPr>
      </w:pPr>
      <w:r>
        <w:rPr>
          <w:rFonts w:ascii="Calibri" w:hAnsi="Calibri" w:cs="Calibri"/>
          <w:b/>
          <w:bCs/>
        </w:rPr>
        <w:t>CLIENT GU</w:t>
      </w:r>
      <w:r w:rsidR="008F3520">
        <w:rPr>
          <w:rFonts w:ascii="Calibri" w:hAnsi="Calibri" w:cs="Calibri"/>
          <w:b/>
          <w:bCs/>
        </w:rPr>
        <w:t>I</w:t>
      </w:r>
      <w:r>
        <w:rPr>
          <w:rFonts w:ascii="Calibri" w:hAnsi="Calibri" w:cs="Calibri"/>
          <w:b/>
          <w:bCs/>
        </w:rPr>
        <w:t>D</w:t>
      </w:r>
      <w:r w:rsidR="008F3520">
        <w:rPr>
          <w:rFonts w:ascii="Calibri" w:hAnsi="Calibri" w:cs="Calibri"/>
          <w:b/>
          <w:bCs/>
        </w:rPr>
        <w:t>E TO CHILD MAINTENANCE</w:t>
      </w:r>
    </w:p>
    <w:p w:rsidR="007646C1" w:rsidRDefault="007646C1" w:rsidP="00B06F9F">
      <w:pPr>
        <w:jc w:val="both"/>
        <w:rPr>
          <w:rFonts w:ascii="Calibri" w:hAnsi="Calibri"/>
          <w:b/>
          <w:szCs w:val="24"/>
          <w:u w:val="single"/>
        </w:rPr>
      </w:pPr>
      <w:bookmarkStart w:id="0" w:name="LASTCURSORPOSITION"/>
      <w:bookmarkEnd w:id="0"/>
    </w:p>
    <w:p w:rsidR="00331ACF" w:rsidRDefault="00331ACF" w:rsidP="00B06F9F">
      <w:pPr>
        <w:jc w:val="both"/>
        <w:rPr>
          <w:rFonts w:ascii="Calibri" w:hAnsi="Calibri"/>
          <w:szCs w:val="24"/>
          <w:u w:val="single"/>
        </w:rPr>
      </w:pPr>
      <w:r w:rsidRPr="00CF769D">
        <w:rPr>
          <w:rFonts w:ascii="Calibri" w:hAnsi="Calibri"/>
          <w:szCs w:val="24"/>
          <w:u w:val="single"/>
        </w:rPr>
        <w:t xml:space="preserve">Child maintenance </w:t>
      </w:r>
    </w:p>
    <w:p w:rsidR="00CF769D" w:rsidRPr="00CF769D" w:rsidRDefault="00CF769D" w:rsidP="00B06F9F">
      <w:pPr>
        <w:jc w:val="both"/>
        <w:rPr>
          <w:rFonts w:ascii="Calibri" w:hAnsi="Calibri"/>
          <w:szCs w:val="24"/>
          <w:u w:val="single"/>
        </w:rPr>
      </w:pPr>
    </w:p>
    <w:p w:rsidR="00331ACF" w:rsidRDefault="00331ACF" w:rsidP="00B06F9F">
      <w:pPr>
        <w:jc w:val="both"/>
        <w:rPr>
          <w:rFonts w:ascii="Calibri" w:hAnsi="Calibri"/>
          <w:szCs w:val="24"/>
        </w:rPr>
      </w:pPr>
      <w:r w:rsidRPr="00CF769D">
        <w:rPr>
          <w:rFonts w:ascii="Calibri" w:hAnsi="Calibri"/>
          <w:szCs w:val="24"/>
        </w:rPr>
        <w:t xml:space="preserve">Child maintenance is financial support that helps towards a child’s everyday living costs when the parents have separated. It is for children who are either:- </w:t>
      </w:r>
    </w:p>
    <w:p w:rsidR="00CF769D" w:rsidRPr="00CF769D" w:rsidRDefault="00CF769D" w:rsidP="00B06F9F">
      <w:pPr>
        <w:jc w:val="both"/>
        <w:rPr>
          <w:rFonts w:ascii="Calibri" w:hAnsi="Calibri"/>
          <w:szCs w:val="24"/>
        </w:rPr>
      </w:pPr>
    </w:p>
    <w:p w:rsidR="00331ACF" w:rsidRPr="00CF769D" w:rsidRDefault="00331ACF" w:rsidP="00331ACF">
      <w:pPr>
        <w:numPr>
          <w:ilvl w:val="0"/>
          <w:numId w:val="2"/>
        </w:numPr>
        <w:jc w:val="both"/>
        <w:rPr>
          <w:rFonts w:ascii="Calibri" w:hAnsi="Calibri"/>
          <w:szCs w:val="24"/>
        </w:rPr>
      </w:pPr>
      <w:r w:rsidRPr="00CF769D">
        <w:rPr>
          <w:rFonts w:ascii="Calibri" w:hAnsi="Calibri"/>
          <w:szCs w:val="24"/>
        </w:rPr>
        <w:t>Under 16</w:t>
      </w:r>
    </w:p>
    <w:p w:rsidR="00331ACF" w:rsidRPr="00CF769D" w:rsidRDefault="00331ACF" w:rsidP="00331ACF">
      <w:pPr>
        <w:numPr>
          <w:ilvl w:val="0"/>
          <w:numId w:val="2"/>
        </w:numPr>
        <w:jc w:val="both"/>
        <w:rPr>
          <w:rFonts w:ascii="Calibri" w:hAnsi="Calibri"/>
          <w:szCs w:val="24"/>
        </w:rPr>
      </w:pPr>
      <w:r w:rsidRPr="00CF769D">
        <w:rPr>
          <w:rFonts w:ascii="Calibri" w:hAnsi="Calibri"/>
          <w:szCs w:val="24"/>
        </w:rPr>
        <w:t>Under 20 and in full time education (but not higher than A-level or equivalent)</w:t>
      </w:r>
    </w:p>
    <w:p w:rsidR="00331ACF" w:rsidRPr="00CF769D" w:rsidRDefault="00331ACF" w:rsidP="00331ACF">
      <w:pPr>
        <w:jc w:val="both"/>
        <w:rPr>
          <w:rFonts w:ascii="Calibri" w:hAnsi="Calibri"/>
          <w:szCs w:val="24"/>
        </w:rPr>
      </w:pPr>
    </w:p>
    <w:p w:rsidR="00331ACF" w:rsidRPr="00CF769D" w:rsidRDefault="00331ACF" w:rsidP="00331ACF">
      <w:pPr>
        <w:jc w:val="both"/>
        <w:rPr>
          <w:rFonts w:ascii="Calibri" w:hAnsi="Calibri"/>
          <w:szCs w:val="24"/>
        </w:rPr>
      </w:pPr>
      <w:r w:rsidRPr="00CF769D">
        <w:rPr>
          <w:rFonts w:ascii="Calibri" w:hAnsi="Calibri"/>
          <w:szCs w:val="24"/>
        </w:rPr>
        <w:t xml:space="preserve">You can agree child maintenance directly with the other parent and enter a Family Based Agreement or go through the Child Maintenance Service (previously the CSA). </w:t>
      </w:r>
    </w:p>
    <w:p w:rsidR="00331ACF" w:rsidRPr="00CF769D" w:rsidRDefault="00331AC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 xml:space="preserve">You may be able to reach an agreement with your former partner in relation to the issue of </w:t>
      </w:r>
      <w:proofErr w:type="gramStart"/>
      <w:r w:rsidRPr="00CF769D">
        <w:rPr>
          <w:rFonts w:ascii="Calibri" w:hAnsi="Calibri"/>
          <w:szCs w:val="24"/>
        </w:rPr>
        <w:t>child</w:t>
      </w:r>
      <w:proofErr w:type="gramEnd"/>
      <w:r w:rsidRPr="00CF769D">
        <w:rPr>
          <w:rFonts w:ascii="Calibri" w:hAnsi="Calibri"/>
          <w:szCs w:val="24"/>
        </w:rPr>
        <w:t xml:space="preserve"> maintenance. This could be a verbal or written agreement. Advice and assistance in relation to family based arrangements can be found at the Child Maintenance Options website: </w:t>
      </w:r>
      <w:hyperlink r:id="rId8" w:history="1">
        <w:r w:rsidRPr="00CF769D">
          <w:rPr>
            <w:rStyle w:val="Hyperlink"/>
            <w:rFonts w:ascii="Calibri" w:hAnsi="Calibri"/>
            <w:szCs w:val="24"/>
          </w:rPr>
          <w:t>www.cmoptions.org</w:t>
        </w:r>
      </w:hyperlink>
      <w:r w:rsidR="00D443B3" w:rsidRPr="00CF769D">
        <w:rPr>
          <w:rFonts w:ascii="Calibri" w:hAnsi="Calibri"/>
          <w:szCs w:val="24"/>
        </w:rPr>
        <w:t>.</w:t>
      </w:r>
    </w:p>
    <w:p w:rsidR="00331ACF" w:rsidRPr="00CF769D" w:rsidRDefault="00331ACF" w:rsidP="00B06F9F">
      <w:pPr>
        <w:jc w:val="both"/>
        <w:rPr>
          <w:rFonts w:ascii="Calibri" w:hAnsi="Calibri"/>
          <w:szCs w:val="24"/>
        </w:rPr>
      </w:pPr>
    </w:p>
    <w:p w:rsidR="00331ACF" w:rsidRDefault="00331ACF" w:rsidP="00B06F9F">
      <w:pPr>
        <w:jc w:val="both"/>
        <w:rPr>
          <w:rFonts w:ascii="Calibri" w:hAnsi="Calibri"/>
          <w:szCs w:val="24"/>
          <w:u w:val="single"/>
        </w:rPr>
      </w:pPr>
      <w:r w:rsidRPr="00CF769D">
        <w:rPr>
          <w:rFonts w:ascii="Calibri" w:hAnsi="Calibri"/>
          <w:szCs w:val="24"/>
          <w:u w:val="single"/>
        </w:rPr>
        <w:t xml:space="preserve">Family Based Agreement </w:t>
      </w:r>
    </w:p>
    <w:p w:rsidR="00CF769D" w:rsidRPr="00CF769D" w:rsidRDefault="00CF769D" w:rsidP="00B06F9F">
      <w:pPr>
        <w:jc w:val="both"/>
        <w:rPr>
          <w:rFonts w:ascii="Calibri" w:hAnsi="Calibri"/>
          <w:szCs w:val="24"/>
          <w:u w:val="single"/>
        </w:rPr>
      </w:pPr>
    </w:p>
    <w:p w:rsidR="00331ACF" w:rsidRPr="00CF769D" w:rsidRDefault="00331ACF" w:rsidP="00B06F9F">
      <w:pPr>
        <w:jc w:val="both"/>
        <w:rPr>
          <w:rFonts w:ascii="Calibri" w:hAnsi="Calibri"/>
          <w:szCs w:val="24"/>
        </w:rPr>
      </w:pPr>
      <w:r w:rsidRPr="00CF769D">
        <w:rPr>
          <w:rFonts w:ascii="Calibri" w:hAnsi="Calibri"/>
          <w:szCs w:val="24"/>
        </w:rPr>
        <w:t xml:space="preserve">One of the main benefits is that it provides flexibility providing you </w:t>
      </w:r>
      <w:proofErr w:type="gramStart"/>
      <w:r w:rsidRPr="00CF769D">
        <w:rPr>
          <w:rFonts w:ascii="Calibri" w:hAnsi="Calibri"/>
          <w:szCs w:val="24"/>
        </w:rPr>
        <w:t>are</w:t>
      </w:r>
      <w:proofErr w:type="gramEnd"/>
      <w:r w:rsidRPr="00CF769D">
        <w:rPr>
          <w:rFonts w:ascii="Calibri" w:hAnsi="Calibri"/>
          <w:szCs w:val="24"/>
        </w:rPr>
        <w:t xml:space="preserve"> both in agreement. You don’t have to follow a set of rules to work out child maintenance and you can agree when the payments are made i.e. weekly, monthly, yearly and can include pa</w:t>
      </w:r>
      <w:r w:rsidR="00CF769D" w:rsidRPr="00CF769D">
        <w:rPr>
          <w:rFonts w:ascii="Calibri" w:hAnsi="Calibri"/>
          <w:szCs w:val="24"/>
        </w:rPr>
        <w:t xml:space="preserve">yments in kind </w:t>
      </w:r>
      <w:r w:rsidRPr="00CF769D">
        <w:rPr>
          <w:rFonts w:ascii="Calibri" w:hAnsi="Calibri"/>
          <w:szCs w:val="24"/>
        </w:rPr>
        <w:t xml:space="preserve">for things like school uniform, clothes, food, school fees or mortgage payments. Most people find it easier to budget by paying or receiving maintenance at the same time as their wages or benefits. It is helpful to keep a record of payments paid and received. A standing order may be best to ensure that payments are paid on time and </w:t>
      </w:r>
      <w:r w:rsidR="0085360F" w:rsidRPr="00CF769D">
        <w:rPr>
          <w:rFonts w:ascii="Calibri" w:hAnsi="Calibri"/>
          <w:szCs w:val="24"/>
        </w:rPr>
        <w:t>recorded</w:t>
      </w:r>
      <w:r w:rsidRPr="00CF769D">
        <w:rPr>
          <w:rFonts w:ascii="Calibri" w:hAnsi="Calibri"/>
          <w:szCs w:val="24"/>
        </w:rPr>
        <w:t xml:space="preserve">. Whatever you agree it is </w:t>
      </w:r>
      <w:r w:rsidR="0085360F" w:rsidRPr="00CF769D">
        <w:rPr>
          <w:rFonts w:ascii="Calibri" w:hAnsi="Calibri"/>
          <w:szCs w:val="24"/>
        </w:rPr>
        <w:t>important</w:t>
      </w:r>
      <w:r w:rsidRPr="00CF769D">
        <w:rPr>
          <w:rFonts w:ascii="Calibri" w:hAnsi="Calibri"/>
          <w:szCs w:val="24"/>
        </w:rPr>
        <w:t xml:space="preserve"> that you write it down so that there is no misunderstanding. The arrangement is not legally binding but is a way of showing your strong personal commitment. </w:t>
      </w:r>
    </w:p>
    <w:p w:rsidR="00331ACF" w:rsidRPr="00CF769D" w:rsidRDefault="00331ACF" w:rsidP="00B06F9F">
      <w:pPr>
        <w:jc w:val="both"/>
        <w:rPr>
          <w:rFonts w:ascii="Calibri" w:hAnsi="Calibri"/>
          <w:szCs w:val="24"/>
        </w:rPr>
      </w:pPr>
    </w:p>
    <w:p w:rsidR="00331ACF" w:rsidRPr="00CF769D" w:rsidRDefault="00331ACF" w:rsidP="00B06F9F">
      <w:pPr>
        <w:jc w:val="both"/>
        <w:rPr>
          <w:szCs w:val="24"/>
        </w:rPr>
      </w:pPr>
      <w:r w:rsidRPr="00CF769D">
        <w:rPr>
          <w:rFonts w:ascii="Calibri" w:hAnsi="Calibri"/>
          <w:szCs w:val="24"/>
        </w:rPr>
        <w:t>In order to f</w:t>
      </w:r>
      <w:r w:rsidR="0085360F" w:rsidRPr="00CF769D">
        <w:rPr>
          <w:rFonts w:ascii="Calibri" w:hAnsi="Calibri"/>
          <w:szCs w:val="24"/>
        </w:rPr>
        <w:t xml:space="preserve">igure out what should be paid a good starting point is to use the calculator on the Child Maintenance Options website: </w:t>
      </w:r>
      <w:hyperlink r:id="rId9" w:history="1">
        <w:r w:rsidR="0085360F" w:rsidRPr="00CF769D">
          <w:rPr>
            <w:rStyle w:val="Hyperlink"/>
            <w:rFonts w:ascii="Calibri" w:hAnsi="Calibri"/>
            <w:szCs w:val="24"/>
          </w:rPr>
          <w:t>www.cmoptions.org</w:t>
        </w:r>
      </w:hyperlink>
      <w:r w:rsidR="00D443B3" w:rsidRPr="00CF769D">
        <w:rPr>
          <w:rFonts w:ascii="Calibri" w:hAnsi="Calibri"/>
          <w:szCs w:val="24"/>
        </w:rPr>
        <w:t xml:space="preserve"> or telephone 0800 9880 988.</w:t>
      </w:r>
    </w:p>
    <w:p w:rsidR="00B06F9F" w:rsidRPr="00CF769D" w:rsidRDefault="00B06F9F" w:rsidP="00B06F9F">
      <w:pPr>
        <w:jc w:val="both"/>
        <w:rPr>
          <w:rFonts w:ascii="Calibri" w:hAnsi="Calibri"/>
          <w:szCs w:val="24"/>
        </w:rPr>
      </w:pPr>
    </w:p>
    <w:p w:rsidR="00D443B3" w:rsidRDefault="00D443B3" w:rsidP="00B06F9F">
      <w:pPr>
        <w:jc w:val="both"/>
        <w:rPr>
          <w:rFonts w:ascii="Calibri" w:hAnsi="Calibri"/>
          <w:szCs w:val="24"/>
          <w:u w:val="single"/>
        </w:rPr>
      </w:pPr>
      <w:r w:rsidRPr="00CF769D">
        <w:rPr>
          <w:rFonts w:ascii="Calibri" w:hAnsi="Calibri"/>
          <w:szCs w:val="24"/>
          <w:u w:val="single"/>
        </w:rPr>
        <w:t xml:space="preserve">Child Maintenance Service </w:t>
      </w:r>
    </w:p>
    <w:p w:rsidR="00CF769D" w:rsidRPr="00CF769D" w:rsidRDefault="00CF769D" w:rsidP="00B06F9F">
      <w:pPr>
        <w:jc w:val="both"/>
        <w:rPr>
          <w:rFonts w:ascii="Calibri" w:hAnsi="Calibri"/>
          <w:szCs w:val="24"/>
          <w:u w:val="single"/>
        </w:rPr>
      </w:pPr>
    </w:p>
    <w:p w:rsidR="00B06F9F" w:rsidRPr="00CF769D" w:rsidRDefault="00B06F9F" w:rsidP="00B06F9F">
      <w:pPr>
        <w:jc w:val="both"/>
        <w:rPr>
          <w:rFonts w:ascii="Calibri" w:hAnsi="Calibri"/>
          <w:szCs w:val="24"/>
        </w:rPr>
      </w:pPr>
      <w:r w:rsidRPr="00CF769D">
        <w:rPr>
          <w:rFonts w:ascii="Calibri" w:hAnsi="Calibri"/>
          <w:szCs w:val="24"/>
        </w:rPr>
        <w:t xml:space="preserve">If, however, no agreement can be reached with regard to child maintenance, then a referral can be made to the Child Maintenance Service (CMS). </w:t>
      </w:r>
    </w:p>
    <w:p w:rsidR="00B06F9F" w:rsidRPr="00CF769D" w:rsidRDefault="00B06F9F" w:rsidP="00B06F9F">
      <w:pPr>
        <w:jc w:val="both"/>
        <w:rPr>
          <w:rFonts w:ascii="Calibri" w:hAnsi="Calibri" w:cs="Arial"/>
          <w:color w:val="0B0C0C"/>
          <w:szCs w:val="24"/>
          <w:shd w:val="clear" w:color="auto" w:fill="FFFFFF"/>
        </w:rPr>
      </w:pPr>
    </w:p>
    <w:p w:rsidR="00B06F9F" w:rsidRPr="00CF769D" w:rsidRDefault="00B06F9F" w:rsidP="00B06F9F">
      <w:pPr>
        <w:jc w:val="both"/>
        <w:rPr>
          <w:rFonts w:ascii="Calibri" w:hAnsi="Calibri"/>
          <w:szCs w:val="24"/>
        </w:rPr>
      </w:pPr>
      <w:r w:rsidRPr="00CF769D">
        <w:rPr>
          <w:rFonts w:ascii="Calibri" w:hAnsi="Calibri"/>
          <w:szCs w:val="24"/>
        </w:rPr>
        <w:t xml:space="preserve">Since 25 November 2013, the way child maintenance is calculated has altered. Whereas the previous calculation was carried out on the non-resident parent’s net income, it is now based on gross income. Gross income is classed as income from earnings, pensions and certain benefits, and is the total amount of income </w:t>
      </w:r>
      <w:r w:rsidRPr="00CF769D">
        <w:rPr>
          <w:rFonts w:ascii="Calibri" w:hAnsi="Calibri"/>
          <w:b/>
          <w:szCs w:val="24"/>
        </w:rPr>
        <w:t>before</w:t>
      </w:r>
      <w:r w:rsidRPr="00CF769D">
        <w:rPr>
          <w:rFonts w:ascii="Calibri" w:hAnsi="Calibri"/>
          <w:szCs w:val="24"/>
        </w:rPr>
        <w:t xml:space="preserve"> tax and NI is taken off, but </w:t>
      </w:r>
      <w:r w:rsidRPr="00CF769D">
        <w:rPr>
          <w:rFonts w:ascii="Calibri" w:hAnsi="Calibri"/>
          <w:b/>
          <w:szCs w:val="24"/>
        </w:rPr>
        <w:t>after</w:t>
      </w:r>
      <w:r w:rsidRPr="00CF769D">
        <w:rPr>
          <w:rFonts w:ascii="Calibri" w:hAnsi="Calibri"/>
          <w:szCs w:val="24"/>
        </w:rPr>
        <w:t xml:space="preserve"> pension deductions. </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lastRenderedPageBreak/>
        <w:t>If a referral is made through the CMS, calculations will be based on information obtained from HMRC, the non-resident parent, their employer and any other relevant third party, such as their accountant.</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 xml:space="preserve">Reassessments will only be carried out if the non-resident parent’s income changes by over 25% during the year. An annual review is, however, carried out. </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Income of up to £3,000 per week can be dealt with through the CMS. If the non-resident parent’s income is higher than this (</w:t>
      </w:r>
      <w:proofErr w:type="spellStart"/>
      <w:r w:rsidRPr="00CF769D">
        <w:rPr>
          <w:rFonts w:ascii="Calibri" w:hAnsi="Calibri"/>
          <w:szCs w:val="24"/>
        </w:rPr>
        <w:t>ie</w:t>
      </w:r>
      <w:proofErr w:type="spellEnd"/>
      <w:r w:rsidRPr="00CF769D">
        <w:rPr>
          <w:rFonts w:ascii="Calibri" w:hAnsi="Calibri"/>
          <w:szCs w:val="24"/>
        </w:rPr>
        <w:t xml:space="preserve"> in excess of £156,000pa) then a court application could be made for additional child maintenance. </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If the CMS is involved in your case, and the non-resident parent fails to provide the information required, or provides false information, this is a criminal offence and if convicted, they can be fined up to £1000.</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cs="Arial"/>
          <w:color w:val="0B0C0C"/>
          <w:szCs w:val="24"/>
          <w:shd w:val="clear" w:color="auto" w:fill="FFFFFF"/>
        </w:rPr>
        <w:t>The</w:t>
      </w:r>
      <w:r w:rsidRPr="00CF769D">
        <w:rPr>
          <w:rStyle w:val="apple-converted-space"/>
          <w:rFonts w:ascii="Calibri" w:hAnsi="Calibri" w:cs="Arial"/>
          <w:color w:val="0B0C0C"/>
          <w:szCs w:val="24"/>
          <w:shd w:val="clear" w:color="auto" w:fill="FFFFFF"/>
        </w:rPr>
        <w:t> </w:t>
      </w:r>
      <w:r w:rsidRPr="00CF769D">
        <w:rPr>
          <w:rFonts w:ascii="Calibri" w:hAnsi="Calibri"/>
          <w:szCs w:val="24"/>
        </w:rPr>
        <w:t>CMS</w:t>
      </w:r>
      <w:r w:rsidRPr="00CF769D">
        <w:rPr>
          <w:rStyle w:val="apple-converted-space"/>
          <w:rFonts w:ascii="Calibri" w:hAnsi="Calibri" w:cs="Arial"/>
          <w:color w:val="0B0C0C"/>
          <w:szCs w:val="24"/>
          <w:shd w:val="clear" w:color="auto" w:fill="FFFFFF"/>
        </w:rPr>
        <w:t> </w:t>
      </w:r>
      <w:r w:rsidRPr="00CF769D">
        <w:rPr>
          <w:rFonts w:ascii="Calibri" w:hAnsi="Calibri" w:cs="Arial"/>
          <w:color w:val="0B0C0C"/>
          <w:szCs w:val="24"/>
          <w:shd w:val="clear" w:color="auto" w:fill="FFFFFF"/>
        </w:rPr>
        <w:t>will begin to charge an application fee (believed to be £20), once the service is fully up and running. There will also be a 20% collection charge for non resident parents on top of their calculation and a 4% charge on payments to resident parents. These ongoing charges can be avoided if parents opt for Direct Pay, where parents pay each-other directly at arms-length from the</w:t>
      </w:r>
      <w:r w:rsidRPr="00CF769D">
        <w:rPr>
          <w:rStyle w:val="apple-converted-space"/>
          <w:rFonts w:ascii="Calibri" w:hAnsi="Calibri" w:cs="Arial"/>
          <w:color w:val="0B0C0C"/>
          <w:szCs w:val="24"/>
          <w:shd w:val="clear" w:color="auto" w:fill="FFFFFF"/>
        </w:rPr>
        <w:t> </w:t>
      </w:r>
      <w:r w:rsidRPr="00CF769D">
        <w:rPr>
          <w:rFonts w:ascii="Calibri" w:hAnsi="Calibri"/>
          <w:szCs w:val="24"/>
        </w:rPr>
        <w:t>CMS</w:t>
      </w:r>
      <w:r w:rsidRPr="00CF769D">
        <w:rPr>
          <w:rFonts w:ascii="Calibri" w:hAnsi="Calibri" w:cs="Arial"/>
          <w:color w:val="0B0C0C"/>
          <w:szCs w:val="24"/>
          <w:shd w:val="clear" w:color="auto" w:fill="FFFFFF"/>
        </w:rPr>
        <w:t>. If payments stop, the</w:t>
      </w:r>
      <w:r w:rsidRPr="00CF769D">
        <w:rPr>
          <w:rStyle w:val="apple-converted-space"/>
          <w:rFonts w:ascii="Calibri" w:hAnsi="Calibri" w:cs="Arial"/>
          <w:color w:val="0B0C0C"/>
          <w:szCs w:val="24"/>
          <w:shd w:val="clear" w:color="auto" w:fill="FFFFFF"/>
        </w:rPr>
        <w:t> </w:t>
      </w:r>
      <w:r w:rsidRPr="00CF769D">
        <w:rPr>
          <w:rFonts w:ascii="Calibri" w:hAnsi="Calibri"/>
          <w:szCs w:val="24"/>
        </w:rPr>
        <w:t>CMS</w:t>
      </w:r>
      <w:r w:rsidRPr="00CF769D">
        <w:rPr>
          <w:rStyle w:val="apple-converted-space"/>
          <w:rFonts w:ascii="Calibri" w:hAnsi="Calibri" w:cs="Arial"/>
          <w:color w:val="0B0C0C"/>
          <w:szCs w:val="24"/>
          <w:shd w:val="clear" w:color="auto" w:fill="FFFFFF"/>
        </w:rPr>
        <w:t> </w:t>
      </w:r>
      <w:r w:rsidRPr="00CF769D">
        <w:rPr>
          <w:rFonts w:ascii="Calibri" w:hAnsi="Calibri" w:cs="Arial"/>
          <w:color w:val="0B0C0C"/>
          <w:szCs w:val="24"/>
          <w:shd w:val="clear" w:color="auto" w:fill="FFFFFF"/>
        </w:rPr>
        <w:t>will step in and enforce payments.</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For the purpose of the maintenance calculation, there are five rates of income, Basic, Basic Plus, Reduced, Flat and Nil.</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A non-resident parent’s maintenance liability is calculated as follows:</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b/>
          <w:szCs w:val="24"/>
        </w:rPr>
      </w:pPr>
      <w:r w:rsidRPr="00CF769D">
        <w:rPr>
          <w:rFonts w:ascii="Calibri" w:hAnsi="Calibri"/>
          <w:szCs w:val="24"/>
        </w:rPr>
        <w:tab/>
      </w:r>
      <w:r w:rsidRPr="00CF769D">
        <w:rPr>
          <w:rFonts w:ascii="Calibri" w:hAnsi="Calibri"/>
          <w:szCs w:val="24"/>
        </w:rPr>
        <w:tab/>
      </w:r>
      <w:r w:rsidRPr="00CF769D">
        <w:rPr>
          <w:rFonts w:ascii="Calibri" w:hAnsi="Calibri"/>
          <w:b/>
          <w:szCs w:val="24"/>
        </w:rPr>
        <w:tab/>
      </w:r>
      <w:r w:rsidRPr="00CF769D">
        <w:rPr>
          <w:rFonts w:ascii="Calibri" w:hAnsi="Calibri"/>
          <w:b/>
          <w:szCs w:val="24"/>
        </w:rPr>
        <w:tab/>
      </w:r>
      <w:r w:rsidRPr="00CF769D">
        <w:rPr>
          <w:rFonts w:ascii="Calibri" w:hAnsi="Calibri"/>
          <w:b/>
          <w:szCs w:val="24"/>
        </w:rPr>
        <w:tab/>
      </w:r>
      <w:r w:rsidRPr="00CF769D">
        <w:rPr>
          <w:rFonts w:ascii="Calibri" w:hAnsi="Calibri"/>
          <w:b/>
          <w:szCs w:val="24"/>
        </w:rPr>
        <w:tab/>
        <w:t>Percentage of Gross Weekly Income Payable</w:t>
      </w:r>
    </w:p>
    <w:p w:rsidR="00B06F9F" w:rsidRPr="00CF769D" w:rsidRDefault="00B06F9F" w:rsidP="00B06F9F">
      <w:pPr>
        <w:jc w:val="both"/>
        <w:rPr>
          <w:rFonts w:ascii="Calibri" w:hAnsi="Calibri"/>
          <w:b/>
          <w:szCs w:val="24"/>
        </w:rPr>
      </w:pPr>
      <w:r w:rsidRPr="00CF769D">
        <w:rPr>
          <w:rFonts w:ascii="Calibri" w:hAnsi="Calibri"/>
          <w:b/>
          <w:szCs w:val="24"/>
        </w:rPr>
        <w:t>Rate</w:t>
      </w:r>
      <w:r w:rsidRPr="00CF769D">
        <w:rPr>
          <w:rFonts w:ascii="Calibri" w:hAnsi="Calibri"/>
          <w:szCs w:val="24"/>
        </w:rPr>
        <w:tab/>
      </w:r>
      <w:r w:rsidRPr="00CF769D">
        <w:rPr>
          <w:rFonts w:ascii="Calibri" w:hAnsi="Calibri"/>
          <w:szCs w:val="24"/>
        </w:rPr>
        <w:tab/>
      </w:r>
      <w:r w:rsidRPr="00CF769D">
        <w:rPr>
          <w:rFonts w:ascii="Calibri" w:hAnsi="Calibri"/>
          <w:b/>
          <w:szCs w:val="24"/>
        </w:rPr>
        <w:t>Gross Weekly Income</w:t>
      </w:r>
      <w:r w:rsidRPr="00CF769D">
        <w:rPr>
          <w:rFonts w:ascii="Calibri" w:hAnsi="Calibri"/>
          <w:b/>
          <w:szCs w:val="24"/>
        </w:rPr>
        <w:tab/>
      </w:r>
      <w:r w:rsidRPr="00CF769D">
        <w:rPr>
          <w:rFonts w:ascii="Calibri" w:hAnsi="Calibri"/>
          <w:b/>
          <w:szCs w:val="24"/>
        </w:rPr>
        <w:tab/>
        <w:t>1 child</w:t>
      </w:r>
      <w:r w:rsidRPr="00CF769D">
        <w:rPr>
          <w:rFonts w:ascii="Calibri" w:hAnsi="Calibri"/>
          <w:b/>
          <w:szCs w:val="24"/>
        </w:rPr>
        <w:tab/>
        <w:t xml:space="preserve"> </w:t>
      </w:r>
      <w:r w:rsidRPr="00CF769D">
        <w:rPr>
          <w:rFonts w:ascii="Calibri" w:hAnsi="Calibri"/>
          <w:b/>
          <w:szCs w:val="24"/>
        </w:rPr>
        <w:tab/>
        <w:t>2 children</w:t>
      </w:r>
      <w:r w:rsidRPr="00CF769D">
        <w:rPr>
          <w:rFonts w:ascii="Calibri" w:hAnsi="Calibri"/>
          <w:b/>
          <w:szCs w:val="24"/>
        </w:rPr>
        <w:tab/>
        <w:t>3 or more</w:t>
      </w:r>
      <w:r w:rsidRPr="00CF769D">
        <w:rPr>
          <w:rFonts w:ascii="Calibri" w:hAnsi="Calibri"/>
          <w:b/>
          <w:szCs w:val="24"/>
        </w:rPr>
        <w:tab/>
      </w:r>
    </w:p>
    <w:p w:rsidR="00B06F9F" w:rsidRPr="00CF769D" w:rsidRDefault="00B06F9F" w:rsidP="00B06F9F">
      <w:pPr>
        <w:jc w:val="both"/>
        <w:rPr>
          <w:rFonts w:ascii="Calibri" w:hAnsi="Calibri"/>
          <w:b/>
          <w:szCs w:val="24"/>
        </w:rPr>
      </w:pPr>
    </w:p>
    <w:p w:rsidR="00B06F9F" w:rsidRPr="00CF769D" w:rsidRDefault="00B06F9F" w:rsidP="00B06F9F">
      <w:pPr>
        <w:jc w:val="both"/>
        <w:rPr>
          <w:rFonts w:ascii="Calibri" w:hAnsi="Calibri"/>
          <w:szCs w:val="24"/>
        </w:rPr>
      </w:pPr>
      <w:r w:rsidRPr="00CF769D">
        <w:rPr>
          <w:rFonts w:ascii="Calibri" w:hAnsi="Calibri"/>
          <w:b/>
          <w:szCs w:val="24"/>
        </w:rPr>
        <w:t>Basic</w:t>
      </w:r>
      <w:r w:rsidRPr="00CF769D">
        <w:rPr>
          <w:rFonts w:ascii="Calibri" w:hAnsi="Calibri"/>
          <w:szCs w:val="24"/>
        </w:rPr>
        <w:tab/>
      </w:r>
      <w:r w:rsidRPr="00CF769D">
        <w:rPr>
          <w:rFonts w:ascii="Calibri" w:hAnsi="Calibri"/>
          <w:szCs w:val="24"/>
        </w:rPr>
        <w:tab/>
        <w:t>£200-£800</w:t>
      </w:r>
      <w:r w:rsidRPr="00CF769D">
        <w:rPr>
          <w:rFonts w:ascii="Calibri" w:hAnsi="Calibri"/>
          <w:szCs w:val="24"/>
        </w:rPr>
        <w:tab/>
      </w:r>
      <w:r w:rsidRPr="00CF769D">
        <w:rPr>
          <w:rFonts w:ascii="Calibri" w:hAnsi="Calibri"/>
          <w:szCs w:val="24"/>
        </w:rPr>
        <w:tab/>
      </w:r>
      <w:r w:rsidRPr="00CF769D">
        <w:rPr>
          <w:rFonts w:ascii="Calibri" w:hAnsi="Calibri"/>
          <w:szCs w:val="24"/>
        </w:rPr>
        <w:tab/>
        <w:t>12%</w:t>
      </w:r>
      <w:r w:rsidRPr="00CF769D">
        <w:rPr>
          <w:rFonts w:ascii="Calibri" w:hAnsi="Calibri"/>
          <w:szCs w:val="24"/>
        </w:rPr>
        <w:tab/>
      </w:r>
      <w:r w:rsidRPr="00CF769D">
        <w:rPr>
          <w:rFonts w:ascii="Calibri" w:hAnsi="Calibri"/>
          <w:szCs w:val="24"/>
        </w:rPr>
        <w:tab/>
        <w:t>16%</w:t>
      </w:r>
      <w:r w:rsidRPr="00CF769D">
        <w:rPr>
          <w:rFonts w:ascii="Calibri" w:hAnsi="Calibri"/>
          <w:szCs w:val="24"/>
        </w:rPr>
        <w:tab/>
      </w:r>
      <w:r w:rsidRPr="00CF769D">
        <w:rPr>
          <w:rFonts w:ascii="Calibri" w:hAnsi="Calibri"/>
          <w:szCs w:val="24"/>
        </w:rPr>
        <w:tab/>
        <w:t>19%</w:t>
      </w:r>
    </w:p>
    <w:p w:rsidR="00B06F9F" w:rsidRPr="00CF769D" w:rsidRDefault="00B06F9F" w:rsidP="00B06F9F">
      <w:pPr>
        <w:jc w:val="both"/>
        <w:rPr>
          <w:rFonts w:ascii="Calibri" w:hAnsi="Calibri"/>
          <w:b/>
          <w:szCs w:val="24"/>
        </w:rPr>
      </w:pPr>
    </w:p>
    <w:p w:rsidR="00B06F9F" w:rsidRPr="00CF769D" w:rsidRDefault="00B06F9F" w:rsidP="00B06F9F">
      <w:pPr>
        <w:jc w:val="both"/>
        <w:rPr>
          <w:rFonts w:ascii="Calibri" w:hAnsi="Calibri"/>
          <w:szCs w:val="24"/>
        </w:rPr>
      </w:pPr>
      <w:r w:rsidRPr="00CF769D">
        <w:rPr>
          <w:rFonts w:ascii="Calibri" w:hAnsi="Calibri"/>
          <w:b/>
          <w:szCs w:val="24"/>
        </w:rPr>
        <w:t>Basic Plus</w:t>
      </w:r>
      <w:r w:rsidRPr="00CF769D">
        <w:rPr>
          <w:rFonts w:ascii="Calibri" w:hAnsi="Calibri"/>
          <w:szCs w:val="24"/>
        </w:rPr>
        <w:tab/>
        <w:t>£800.01 to £3,000</w:t>
      </w:r>
      <w:r w:rsidRPr="00CF769D">
        <w:rPr>
          <w:rFonts w:ascii="Calibri" w:hAnsi="Calibri"/>
          <w:szCs w:val="24"/>
        </w:rPr>
        <w:tab/>
      </w:r>
      <w:r w:rsidRPr="00CF769D">
        <w:rPr>
          <w:rFonts w:ascii="Calibri" w:hAnsi="Calibri"/>
          <w:szCs w:val="24"/>
        </w:rPr>
        <w:tab/>
        <w:t>9%</w:t>
      </w:r>
      <w:r w:rsidRPr="00CF769D">
        <w:rPr>
          <w:rFonts w:ascii="Calibri" w:hAnsi="Calibri"/>
          <w:szCs w:val="24"/>
        </w:rPr>
        <w:tab/>
      </w:r>
      <w:r w:rsidRPr="00CF769D">
        <w:rPr>
          <w:rFonts w:ascii="Calibri" w:hAnsi="Calibri"/>
          <w:szCs w:val="24"/>
        </w:rPr>
        <w:tab/>
        <w:t>12%</w:t>
      </w:r>
      <w:r w:rsidRPr="00CF769D">
        <w:rPr>
          <w:rFonts w:ascii="Calibri" w:hAnsi="Calibri"/>
          <w:szCs w:val="24"/>
        </w:rPr>
        <w:tab/>
      </w:r>
      <w:r w:rsidRPr="00CF769D">
        <w:rPr>
          <w:rFonts w:ascii="Calibri" w:hAnsi="Calibri"/>
          <w:szCs w:val="24"/>
        </w:rPr>
        <w:tab/>
        <w:t>15%</w:t>
      </w:r>
    </w:p>
    <w:p w:rsidR="00B06F9F" w:rsidRPr="00CF769D" w:rsidRDefault="00B06F9F" w:rsidP="00B06F9F">
      <w:pPr>
        <w:jc w:val="both"/>
        <w:rPr>
          <w:rFonts w:ascii="Calibri" w:hAnsi="Calibri"/>
          <w:szCs w:val="24"/>
        </w:rPr>
      </w:pPr>
      <w:r w:rsidRPr="00CF769D">
        <w:rPr>
          <w:rFonts w:ascii="Calibri" w:hAnsi="Calibri"/>
          <w:szCs w:val="24"/>
        </w:rPr>
        <w:tab/>
      </w:r>
      <w:r w:rsidRPr="00CF769D">
        <w:rPr>
          <w:rFonts w:ascii="Calibri" w:hAnsi="Calibri"/>
          <w:szCs w:val="24"/>
        </w:rPr>
        <w:tab/>
        <w:t xml:space="preserve"> </w:t>
      </w:r>
      <w:proofErr w:type="gramStart"/>
      <w:r w:rsidRPr="00CF769D">
        <w:rPr>
          <w:rFonts w:ascii="Calibri" w:hAnsi="Calibri"/>
          <w:szCs w:val="24"/>
        </w:rPr>
        <w:t>income</w:t>
      </w:r>
      <w:proofErr w:type="gramEnd"/>
      <w:r w:rsidRPr="00CF769D">
        <w:rPr>
          <w:rFonts w:ascii="Calibri" w:hAnsi="Calibri"/>
          <w:szCs w:val="24"/>
        </w:rPr>
        <w:t xml:space="preserve"> up to £800 dealt with as per Basic Rate, plus additional % of excess</w:t>
      </w:r>
    </w:p>
    <w:p w:rsidR="00B06F9F" w:rsidRPr="00CF769D" w:rsidRDefault="00B06F9F" w:rsidP="00B06F9F">
      <w:pPr>
        <w:jc w:val="both"/>
        <w:rPr>
          <w:rFonts w:ascii="Calibri" w:hAnsi="Calibri"/>
          <w:b/>
          <w:szCs w:val="24"/>
        </w:rPr>
      </w:pPr>
    </w:p>
    <w:p w:rsidR="00B06F9F" w:rsidRPr="00CF769D" w:rsidRDefault="00B06F9F" w:rsidP="00B06F9F">
      <w:pPr>
        <w:jc w:val="both"/>
        <w:rPr>
          <w:rFonts w:ascii="Calibri" w:hAnsi="Calibri"/>
          <w:szCs w:val="24"/>
        </w:rPr>
      </w:pPr>
      <w:r w:rsidRPr="00CF769D">
        <w:rPr>
          <w:rFonts w:ascii="Calibri" w:hAnsi="Calibri"/>
          <w:b/>
          <w:szCs w:val="24"/>
        </w:rPr>
        <w:t>Reduced</w:t>
      </w:r>
      <w:r w:rsidRPr="00CF769D">
        <w:rPr>
          <w:rFonts w:ascii="Calibri" w:hAnsi="Calibri"/>
          <w:szCs w:val="24"/>
        </w:rPr>
        <w:tab/>
        <w:t>£100.01 to £199.99</w:t>
      </w:r>
      <w:r w:rsidRPr="00CF769D">
        <w:rPr>
          <w:rFonts w:ascii="Calibri" w:hAnsi="Calibri"/>
          <w:szCs w:val="24"/>
        </w:rPr>
        <w:tab/>
      </w:r>
      <w:r w:rsidRPr="00CF769D">
        <w:rPr>
          <w:rFonts w:ascii="Calibri" w:hAnsi="Calibri"/>
          <w:szCs w:val="24"/>
        </w:rPr>
        <w:tab/>
        <w:t>19%</w:t>
      </w:r>
      <w:r w:rsidRPr="00CF769D">
        <w:rPr>
          <w:rFonts w:ascii="Calibri" w:hAnsi="Calibri"/>
          <w:szCs w:val="24"/>
        </w:rPr>
        <w:tab/>
      </w:r>
      <w:r w:rsidRPr="00CF769D">
        <w:rPr>
          <w:rFonts w:ascii="Calibri" w:hAnsi="Calibri"/>
          <w:szCs w:val="24"/>
        </w:rPr>
        <w:tab/>
        <w:t>27%</w:t>
      </w:r>
      <w:r w:rsidRPr="00CF769D">
        <w:rPr>
          <w:rFonts w:ascii="Calibri" w:hAnsi="Calibri"/>
          <w:szCs w:val="24"/>
        </w:rPr>
        <w:tab/>
      </w:r>
      <w:r w:rsidRPr="00CF769D">
        <w:rPr>
          <w:rFonts w:ascii="Calibri" w:hAnsi="Calibri"/>
          <w:szCs w:val="24"/>
        </w:rPr>
        <w:tab/>
        <w:t>33%</w:t>
      </w:r>
    </w:p>
    <w:p w:rsidR="00B06F9F" w:rsidRPr="00CF769D" w:rsidRDefault="00B06F9F" w:rsidP="00B06F9F">
      <w:pPr>
        <w:jc w:val="both"/>
        <w:rPr>
          <w:rFonts w:ascii="Calibri" w:hAnsi="Calibri"/>
          <w:szCs w:val="24"/>
        </w:rPr>
      </w:pPr>
      <w:r w:rsidRPr="00CF769D">
        <w:rPr>
          <w:rFonts w:ascii="Calibri" w:hAnsi="Calibri"/>
          <w:szCs w:val="24"/>
        </w:rPr>
        <w:tab/>
      </w:r>
      <w:r w:rsidRPr="00CF769D">
        <w:rPr>
          <w:rFonts w:ascii="Calibri" w:hAnsi="Calibri"/>
          <w:szCs w:val="24"/>
        </w:rPr>
        <w:tab/>
        <w:t>Flat rate of £5 plus additional % of excess over £100.00</w:t>
      </w:r>
    </w:p>
    <w:p w:rsidR="00B06F9F" w:rsidRPr="00CF769D" w:rsidRDefault="00B06F9F" w:rsidP="00B06F9F">
      <w:pPr>
        <w:jc w:val="both"/>
        <w:rPr>
          <w:rFonts w:ascii="Calibri" w:hAnsi="Calibri"/>
          <w:b/>
          <w:szCs w:val="24"/>
        </w:rPr>
      </w:pPr>
    </w:p>
    <w:p w:rsidR="00B06F9F" w:rsidRPr="00CF769D" w:rsidRDefault="00B06F9F" w:rsidP="00B06F9F">
      <w:pPr>
        <w:jc w:val="both"/>
        <w:rPr>
          <w:rFonts w:ascii="Calibri" w:hAnsi="Calibri"/>
          <w:szCs w:val="24"/>
        </w:rPr>
      </w:pPr>
      <w:r w:rsidRPr="00CF769D">
        <w:rPr>
          <w:rFonts w:ascii="Calibri" w:hAnsi="Calibri"/>
          <w:b/>
          <w:szCs w:val="24"/>
        </w:rPr>
        <w:t xml:space="preserve">Flat </w:t>
      </w:r>
      <w:r w:rsidRPr="00CF769D">
        <w:rPr>
          <w:rFonts w:ascii="Calibri" w:hAnsi="Calibri"/>
          <w:b/>
          <w:szCs w:val="24"/>
        </w:rPr>
        <w:tab/>
      </w:r>
      <w:r w:rsidRPr="00CF769D">
        <w:rPr>
          <w:rFonts w:ascii="Calibri" w:hAnsi="Calibri"/>
          <w:szCs w:val="24"/>
        </w:rPr>
        <w:tab/>
        <w:t xml:space="preserve">£5 to £100 </w:t>
      </w:r>
      <w:r w:rsidRPr="00CF769D">
        <w:rPr>
          <w:rFonts w:ascii="Calibri" w:hAnsi="Calibri"/>
          <w:szCs w:val="24"/>
        </w:rPr>
        <w:tab/>
      </w:r>
      <w:r w:rsidRPr="00CF769D">
        <w:rPr>
          <w:rFonts w:ascii="Calibri" w:hAnsi="Calibri"/>
          <w:szCs w:val="24"/>
        </w:rPr>
        <w:tab/>
      </w:r>
      <w:r w:rsidRPr="00CF769D">
        <w:rPr>
          <w:rFonts w:ascii="Calibri" w:hAnsi="Calibri"/>
          <w:szCs w:val="24"/>
        </w:rPr>
        <w:tab/>
        <w:t>£5</w:t>
      </w:r>
      <w:r w:rsidRPr="00CF769D">
        <w:rPr>
          <w:rFonts w:ascii="Calibri" w:hAnsi="Calibri"/>
          <w:szCs w:val="24"/>
        </w:rPr>
        <w:tab/>
      </w:r>
      <w:r w:rsidRPr="00CF769D">
        <w:rPr>
          <w:rFonts w:ascii="Calibri" w:hAnsi="Calibri"/>
          <w:szCs w:val="24"/>
        </w:rPr>
        <w:tab/>
        <w:t>£5</w:t>
      </w:r>
      <w:r w:rsidRPr="00CF769D">
        <w:rPr>
          <w:rFonts w:ascii="Calibri" w:hAnsi="Calibri"/>
          <w:szCs w:val="24"/>
        </w:rPr>
        <w:tab/>
      </w:r>
      <w:r w:rsidRPr="00CF769D">
        <w:rPr>
          <w:rFonts w:ascii="Calibri" w:hAnsi="Calibri"/>
          <w:szCs w:val="24"/>
        </w:rPr>
        <w:tab/>
        <w:t>£5</w:t>
      </w:r>
    </w:p>
    <w:p w:rsidR="00B06F9F" w:rsidRPr="00CF769D" w:rsidRDefault="00B06F9F" w:rsidP="00B06F9F">
      <w:pPr>
        <w:ind w:left="720" w:firstLine="720"/>
        <w:jc w:val="both"/>
        <w:rPr>
          <w:rFonts w:ascii="Calibri" w:hAnsi="Calibri"/>
          <w:szCs w:val="24"/>
        </w:rPr>
      </w:pPr>
      <w:r w:rsidRPr="00CF769D">
        <w:rPr>
          <w:rFonts w:ascii="Calibri" w:hAnsi="Calibri"/>
          <w:szCs w:val="24"/>
        </w:rPr>
        <w:t>(</w:t>
      </w:r>
      <w:proofErr w:type="gramStart"/>
      <w:r w:rsidRPr="00CF769D">
        <w:rPr>
          <w:rFonts w:ascii="Calibri" w:hAnsi="Calibri"/>
          <w:szCs w:val="24"/>
        </w:rPr>
        <w:t>or</w:t>
      </w:r>
      <w:proofErr w:type="gramEnd"/>
      <w:r w:rsidRPr="00CF769D">
        <w:rPr>
          <w:rFonts w:ascii="Calibri" w:hAnsi="Calibri"/>
          <w:szCs w:val="24"/>
        </w:rPr>
        <w:t xml:space="preserve"> receives certain benefits)</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b/>
          <w:szCs w:val="24"/>
        </w:rPr>
        <w:t>Nil</w:t>
      </w:r>
      <w:r w:rsidRPr="00CF769D">
        <w:rPr>
          <w:rFonts w:ascii="Calibri" w:hAnsi="Calibri"/>
          <w:szCs w:val="24"/>
        </w:rPr>
        <w:tab/>
      </w:r>
      <w:r w:rsidRPr="00CF769D">
        <w:rPr>
          <w:rFonts w:ascii="Calibri" w:hAnsi="Calibri"/>
          <w:szCs w:val="24"/>
        </w:rPr>
        <w:tab/>
        <w:t>Less than £5</w:t>
      </w:r>
      <w:r w:rsidRPr="00CF769D">
        <w:rPr>
          <w:rFonts w:ascii="Calibri" w:hAnsi="Calibri"/>
          <w:szCs w:val="24"/>
        </w:rPr>
        <w:tab/>
      </w:r>
      <w:r w:rsidRPr="00CF769D">
        <w:rPr>
          <w:rFonts w:ascii="Calibri" w:hAnsi="Calibri"/>
          <w:szCs w:val="24"/>
        </w:rPr>
        <w:tab/>
      </w:r>
      <w:r w:rsidRPr="00CF769D">
        <w:rPr>
          <w:rFonts w:ascii="Calibri" w:hAnsi="Calibri"/>
          <w:szCs w:val="24"/>
        </w:rPr>
        <w:tab/>
        <w:t>0%</w:t>
      </w:r>
      <w:r w:rsidRPr="00CF769D">
        <w:rPr>
          <w:rFonts w:ascii="Calibri" w:hAnsi="Calibri"/>
          <w:szCs w:val="24"/>
        </w:rPr>
        <w:tab/>
      </w:r>
      <w:r w:rsidRPr="00CF769D">
        <w:rPr>
          <w:rFonts w:ascii="Calibri" w:hAnsi="Calibri"/>
          <w:szCs w:val="24"/>
        </w:rPr>
        <w:tab/>
        <w:t>0%</w:t>
      </w:r>
      <w:r w:rsidRPr="00CF769D">
        <w:rPr>
          <w:rFonts w:ascii="Calibri" w:hAnsi="Calibri"/>
          <w:szCs w:val="24"/>
        </w:rPr>
        <w:tab/>
      </w:r>
      <w:r w:rsidRPr="00CF769D">
        <w:rPr>
          <w:rFonts w:ascii="Calibri" w:hAnsi="Calibri"/>
          <w:szCs w:val="24"/>
        </w:rPr>
        <w:tab/>
        <w:t>0%</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A deduction is also made if the non-resident parent has overnight stays with their children of at least 53 nights per year. For example, if the non-resident parent has overnight staying contact for, on average, one night per week, a 1/7</w:t>
      </w:r>
      <w:r w:rsidRPr="00CF769D">
        <w:rPr>
          <w:rFonts w:ascii="Calibri" w:hAnsi="Calibri"/>
          <w:szCs w:val="24"/>
          <w:vertAlign w:val="superscript"/>
        </w:rPr>
        <w:t>th</w:t>
      </w:r>
      <w:r w:rsidRPr="00CF769D">
        <w:rPr>
          <w:rFonts w:ascii="Calibri" w:hAnsi="Calibri"/>
          <w:szCs w:val="24"/>
        </w:rPr>
        <w:t xml:space="preserve"> deduction is made to their maintenance liability; two nights per week, a 2/7</w:t>
      </w:r>
      <w:r w:rsidRPr="00CF769D">
        <w:rPr>
          <w:rFonts w:ascii="Calibri" w:hAnsi="Calibri"/>
          <w:szCs w:val="24"/>
          <w:vertAlign w:val="superscript"/>
        </w:rPr>
        <w:t>th</w:t>
      </w:r>
      <w:r w:rsidRPr="00CF769D">
        <w:rPr>
          <w:rFonts w:ascii="Calibri" w:hAnsi="Calibri"/>
          <w:szCs w:val="24"/>
        </w:rPr>
        <w:t xml:space="preserve"> deduction and so on.</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 xml:space="preserve">If the non-resident parent has other children residing in their current household </w:t>
      </w:r>
      <w:proofErr w:type="spellStart"/>
      <w:r w:rsidRPr="00CF769D">
        <w:rPr>
          <w:rFonts w:ascii="Calibri" w:hAnsi="Calibri"/>
          <w:szCs w:val="24"/>
        </w:rPr>
        <w:t>eg</w:t>
      </w:r>
      <w:proofErr w:type="spellEnd"/>
      <w:r w:rsidRPr="00CF769D">
        <w:rPr>
          <w:rFonts w:ascii="Calibri" w:hAnsi="Calibri"/>
          <w:szCs w:val="24"/>
        </w:rPr>
        <w:t xml:space="preserve"> step children, </w:t>
      </w:r>
      <w:proofErr w:type="gramStart"/>
      <w:r w:rsidRPr="00CF769D">
        <w:rPr>
          <w:rFonts w:ascii="Calibri" w:hAnsi="Calibri"/>
          <w:szCs w:val="24"/>
        </w:rPr>
        <w:t>then</w:t>
      </w:r>
      <w:proofErr w:type="gramEnd"/>
      <w:r w:rsidRPr="00CF769D">
        <w:rPr>
          <w:rFonts w:ascii="Calibri" w:hAnsi="Calibri"/>
          <w:szCs w:val="24"/>
        </w:rPr>
        <w:t xml:space="preserve"> a reduction in child maintenance liability is made for these children. </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rPr>
      </w:pPr>
      <w:r w:rsidRPr="00CF769D">
        <w:rPr>
          <w:rFonts w:ascii="Calibri" w:hAnsi="Calibri"/>
          <w:szCs w:val="24"/>
        </w:rPr>
        <w:t>Example:</w:t>
      </w:r>
    </w:p>
    <w:p w:rsidR="00B06F9F" w:rsidRPr="00CF769D" w:rsidRDefault="00B06F9F" w:rsidP="00B06F9F">
      <w:pPr>
        <w:jc w:val="both"/>
        <w:rPr>
          <w:rFonts w:ascii="Calibri" w:hAnsi="Calibri"/>
          <w:szCs w:val="24"/>
        </w:rPr>
      </w:pPr>
      <w:r w:rsidRPr="00CF769D">
        <w:rPr>
          <w:rFonts w:ascii="Calibri" w:hAnsi="Calibri"/>
          <w:szCs w:val="24"/>
        </w:rPr>
        <w:t xml:space="preserve">A non-resident parent with a gross weekly income of £150 falls into the Reduced Rate. If they are liable for maintenance for two children, with no overnight stays taking place, they will pay 27% of the balance of their income over £100 </w:t>
      </w:r>
      <w:proofErr w:type="spellStart"/>
      <w:r w:rsidRPr="00CF769D">
        <w:rPr>
          <w:rFonts w:ascii="Calibri" w:hAnsi="Calibri"/>
          <w:szCs w:val="24"/>
        </w:rPr>
        <w:t>ie</w:t>
      </w:r>
      <w:proofErr w:type="spellEnd"/>
      <w:r w:rsidRPr="00CF769D">
        <w:rPr>
          <w:rFonts w:ascii="Calibri" w:hAnsi="Calibri"/>
          <w:szCs w:val="24"/>
        </w:rPr>
        <w:t xml:space="preserve"> £50 = £13.50, plus the flat rate of £5 = £18.50 per week, which is rounded up to £19 per week.</w:t>
      </w:r>
    </w:p>
    <w:p w:rsidR="00B06F9F" w:rsidRPr="00CF769D" w:rsidRDefault="00B06F9F" w:rsidP="00B06F9F">
      <w:pPr>
        <w:jc w:val="both"/>
        <w:rPr>
          <w:rFonts w:ascii="Calibri" w:hAnsi="Calibri"/>
          <w:szCs w:val="24"/>
        </w:rPr>
      </w:pPr>
    </w:p>
    <w:p w:rsidR="00B06F9F" w:rsidRPr="00CF769D" w:rsidRDefault="00B06F9F" w:rsidP="00B06F9F">
      <w:pPr>
        <w:jc w:val="both"/>
        <w:rPr>
          <w:rFonts w:ascii="Calibri" w:hAnsi="Calibri"/>
          <w:szCs w:val="24"/>
          <w:vertAlign w:val="superscript"/>
        </w:rPr>
      </w:pPr>
      <w:r w:rsidRPr="00CF769D">
        <w:rPr>
          <w:rFonts w:ascii="Calibri" w:hAnsi="Calibri"/>
          <w:szCs w:val="24"/>
        </w:rPr>
        <w:t xml:space="preserve">A non-resident parent with a gross weekly income of £900 falls into the Basic </w:t>
      </w:r>
      <w:proofErr w:type="gramStart"/>
      <w:r w:rsidRPr="00CF769D">
        <w:rPr>
          <w:rFonts w:ascii="Calibri" w:hAnsi="Calibri"/>
          <w:szCs w:val="24"/>
        </w:rPr>
        <w:t>Plus</w:t>
      </w:r>
      <w:proofErr w:type="gramEnd"/>
      <w:r w:rsidRPr="00CF769D">
        <w:rPr>
          <w:rFonts w:ascii="Calibri" w:hAnsi="Calibri"/>
          <w:szCs w:val="24"/>
        </w:rPr>
        <w:t xml:space="preserve"> Rate. If they are liable for maintenance for three children, they will pay 19% of their income up to £800, £152,plus 15% of their income over £800 </w:t>
      </w:r>
      <w:proofErr w:type="spellStart"/>
      <w:r w:rsidRPr="00CF769D">
        <w:rPr>
          <w:rFonts w:ascii="Calibri" w:hAnsi="Calibri"/>
          <w:szCs w:val="24"/>
        </w:rPr>
        <w:t>ie</w:t>
      </w:r>
      <w:proofErr w:type="spellEnd"/>
      <w:r w:rsidRPr="00CF769D">
        <w:rPr>
          <w:rFonts w:ascii="Calibri" w:hAnsi="Calibri"/>
          <w:szCs w:val="24"/>
        </w:rPr>
        <w:t xml:space="preserve"> £100 = £15, making a total of £167. The children stay overnight for one night every week. A deduction is therefore made of 1/7</w:t>
      </w:r>
      <w:r w:rsidRPr="00CF769D">
        <w:rPr>
          <w:rFonts w:ascii="Calibri" w:hAnsi="Calibri"/>
          <w:szCs w:val="24"/>
          <w:vertAlign w:val="superscript"/>
        </w:rPr>
        <w:t>th</w:t>
      </w:r>
      <w:r w:rsidRPr="00CF769D">
        <w:rPr>
          <w:rFonts w:ascii="Calibri" w:hAnsi="Calibri"/>
          <w:szCs w:val="24"/>
        </w:rPr>
        <w:t>, making the liability £143 per week</w:t>
      </w:r>
    </w:p>
    <w:p w:rsidR="00B06F9F" w:rsidRPr="00CF769D" w:rsidRDefault="00B06F9F" w:rsidP="00B06F9F">
      <w:pPr>
        <w:jc w:val="both"/>
        <w:rPr>
          <w:rFonts w:ascii="Calibri" w:hAnsi="Calibri"/>
          <w:szCs w:val="24"/>
        </w:rPr>
      </w:pPr>
    </w:p>
    <w:p w:rsidR="00B06F9F" w:rsidRPr="00CF769D" w:rsidRDefault="00D443B3" w:rsidP="00B06F9F">
      <w:pPr>
        <w:jc w:val="both"/>
        <w:rPr>
          <w:rFonts w:ascii="Calibri" w:hAnsi="Calibri"/>
          <w:szCs w:val="24"/>
        </w:rPr>
      </w:pPr>
      <w:r w:rsidRPr="00CF769D">
        <w:rPr>
          <w:rFonts w:ascii="Calibri" w:hAnsi="Calibri"/>
          <w:szCs w:val="24"/>
        </w:rPr>
        <w:t xml:space="preserve">For more information on the Child Maintenance Service visit </w:t>
      </w:r>
      <w:hyperlink r:id="rId10" w:history="1">
        <w:r w:rsidR="00B06F9F" w:rsidRPr="00CF769D">
          <w:rPr>
            <w:rStyle w:val="Hyperlink"/>
            <w:rFonts w:ascii="Calibri" w:hAnsi="Calibri"/>
            <w:szCs w:val="24"/>
          </w:rPr>
          <w:t>www.gov.uk/child-maintenance</w:t>
        </w:r>
      </w:hyperlink>
      <w:r w:rsidRPr="00CF769D">
        <w:rPr>
          <w:rFonts w:ascii="Calibri" w:hAnsi="Calibri"/>
          <w:szCs w:val="24"/>
        </w:rPr>
        <w:t xml:space="preserve"> or call 0800 988 098.</w:t>
      </w:r>
    </w:p>
    <w:p w:rsidR="003B523A" w:rsidRPr="00B06F9F" w:rsidRDefault="003B523A" w:rsidP="00B06F9F">
      <w:pPr>
        <w:rPr>
          <w:rFonts w:ascii="Calibri" w:hAnsi="Calibri"/>
          <w:szCs w:val="24"/>
        </w:rPr>
      </w:pPr>
    </w:p>
    <w:sectPr w:rsidR="003B523A" w:rsidRPr="00B06F9F" w:rsidSect="00CF769D">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709" w:left="1440" w:header="708" w:footer="708" w:gutter="0"/>
      <w:paperSrc w:first="261" w:other="2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EA" w:rsidRDefault="00F879EA" w:rsidP="00F879EA">
      <w:r>
        <w:separator/>
      </w:r>
    </w:p>
  </w:endnote>
  <w:endnote w:type="continuationSeparator" w:id="0">
    <w:p w:rsidR="00F879EA" w:rsidRDefault="00F879EA" w:rsidP="00F8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EA" w:rsidRDefault="00F879EA" w:rsidP="00F879EA">
      <w:r>
        <w:separator/>
      </w:r>
    </w:p>
  </w:footnote>
  <w:footnote w:type="continuationSeparator" w:id="0">
    <w:p w:rsidR="00F879EA" w:rsidRDefault="00F879EA" w:rsidP="00F8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F9" w:rsidRDefault="00DF2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6CAE"/>
    <w:multiLevelType w:val="hybridMultilevel"/>
    <w:tmpl w:val="36FA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F4E96"/>
    <w:multiLevelType w:val="multilevel"/>
    <w:tmpl w:val="2F5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COMPANYID" w:val="2122615648"/>
    <w:docVar w:name="ISPREC" w:val="-1"/>
    <w:docVar w:name="PRECID" w:val="189499"/>
    <w:docVar w:name="SERIALNO" w:val="11390"/>
    <w:docVar w:name="TEXTONLY" w:val="0"/>
  </w:docVars>
  <w:rsids>
    <w:rsidRoot w:val="001811AA"/>
    <w:rsid w:val="00145072"/>
    <w:rsid w:val="001811AA"/>
    <w:rsid w:val="00253439"/>
    <w:rsid w:val="00313957"/>
    <w:rsid w:val="00331ACF"/>
    <w:rsid w:val="00351EDF"/>
    <w:rsid w:val="0038196C"/>
    <w:rsid w:val="003B523A"/>
    <w:rsid w:val="003E2CCF"/>
    <w:rsid w:val="00470646"/>
    <w:rsid w:val="00664AC7"/>
    <w:rsid w:val="007646C1"/>
    <w:rsid w:val="0085360F"/>
    <w:rsid w:val="00866756"/>
    <w:rsid w:val="008F3520"/>
    <w:rsid w:val="00A21F0B"/>
    <w:rsid w:val="00A86FDE"/>
    <w:rsid w:val="00AA0553"/>
    <w:rsid w:val="00B05F79"/>
    <w:rsid w:val="00B06F9F"/>
    <w:rsid w:val="00CF769D"/>
    <w:rsid w:val="00D443B3"/>
    <w:rsid w:val="00DF29F9"/>
    <w:rsid w:val="00EB15D0"/>
    <w:rsid w:val="00F35C90"/>
    <w:rsid w:val="00F665FF"/>
    <w:rsid w:val="00F879EA"/>
    <w:rsid w:val="00FA3E8F"/>
    <w:rsid w:val="00FD448F"/>
    <w:rsid w:val="00FD7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4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756"/>
    <w:rPr>
      <w:color w:val="0000FF"/>
      <w:u w:val="single"/>
    </w:rPr>
  </w:style>
  <w:style w:type="character" w:styleId="Strong">
    <w:name w:val="Strong"/>
    <w:basedOn w:val="DefaultParagraphFont"/>
    <w:qFormat/>
    <w:rsid w:val="00866756"/>
    <w:rPr>
      <w:b/>
      <w:bCs/>
    </w:rPr>
  </w:style>
  <w:style w:type="paragraph" w:styleId="NormalWeb">
    <w:name w:val="Normal (Web)"/>
    <w:basedOn w:val="Normal"/>
    <w:uiPriority w:val="99"/>
    <w:semiHidden/>
    <w:unhideWhenUsed/>
    <w:rsid w:val="00B05F79"/>
    <w:pPr>
      <w:spacing w:before="100" w:beforeAutospacing="1" w:after="100" w:afterAutospacing="1"/>
    </w:pPr>
    <w:rPr>
      <w:szCs w:val="24"/>
      <w:lang w:eastAsia="en-GB"/>
    </w:rPr>
  </w:style>
  <w:style w:type="paragraph" w:styleId="Header">
    <w:name w:val="header"/>
    <w:basedOn w:val="Normal"/>
    <w:link w:val="HeaderChar"/>
    <w:uiPriority w:val="99"/>
    <w:semiHidden/>
    <w:unhideWhenUsed/>
    <w:rsid w:val="00B06F9F"/>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emiHidden/>
    <w:rsid w:val="00B06F9F"/>
    <w:rPr>
      <w:rFonts w:ascii="Calibri" w:eastAsia="Calibri" w:hAnsi="Calibri" w:cs="Times New Roman"/>
      <w:sz w:val="22"/>
      <w:szCs w:val="22"/>
      <w:lang w:eastAsia="en-US"/>
    </w:rPr>
  </w:style>
  <w:style w:type="paragraph" w:styleId="Footer">
    <w:name w:val="footer"/>
    <w:basedOn w:val="Normal"/>
    <w:link w:val="FooterChar"/>
    <w:uiPriority w:val="99"/>
    <w:semiHidden/>
    <w:unhideWhenUsed/>
    <w:rsid w:val="00B06F9F"/>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semiHidden/>
    <w:rsid w:val="00B06F9F"/>
    <w:rPr>
      <w:rFonts w:ascii="Calibri" w:eastAsia="Calibri" w:hAnsi="Calibri" w:cs="Times New Roman"/>
      <w:sz w:val="22"/>
      <w:szCs w:val="22"/>
      <w:lang w:eastAsia="en-US"/>
    </w:rPr>
  </w:style>
  <w:style w:type="character" w:customStyle="1" w:styleId="apple-converted-space">
    <w:name w:val="apple-converted-space"/>
    <w:basedOn w:val="DefaultParagraphFont"/>
    <w:rsid w:val="00B06F9F"/>
  </w:style>
</w:styles>
</file>

<file path=word/webSettings.xml><?xml version="1.0" encoding="utf-8"?>
<w:webSettings xmlns:r="http://schemas.openxmlformats.org/officeDocument/2006/relationships" xmlns:w="http://schemas.openxmlformats.org/wordprocessingml/2006/main">
  <w:divs>
    <w:div w:id="505751749">
      <w:bodyDiv w:val="1"/>
      <w:marLeft w:val="0"/>
      <w:marRight w:val="0"/>
      <w:marTop w:val="0"/>
      <w:marBottom w:val="0"/>
      <w:divBdr>
        <w:top w:val="none" w:sz="0" w:space="0" w:color="auto"/>
        <w:left w:val="none" w:sz="0" w:space="0" w:color="auto"/>
        <w:bottom w:val="none" w:sz="0" w:space="0" w:color="auto"/>
        <w:right w:val="none" w:sz="0" w:space="0" w:color="auto"/>
      </w:divBdr>
      <w:divsChild>
        <w:div w:id="1535847424">
          <w:marLeft w:val="0"/>
          <w:marRight w:val="0"/>
          <w:marTop w:val="0"/>
          <w:marBottom w:val="0"/>
          <w:divBdr>
            <w:top w:val="none" w:sz="0" w:space="0" w:color="auto"/>
            <w:left w:val="none" w:sz="0" w:space="0" w:color="auto"/>
            <w:bottom w:val="none" w:sz="0" w:space="0" w:color="auto"/>
            <w:right w:val="none" w:sz="0" w:space="0" w:color="auto"/>
          </w:divBdr>
          <w:divsChild>
            <w:div w:id="565071546">
              <w:marLeft w:val="0"/>
              <w:marRight w:val="0"/>
              <w:marTop w:val="0"/>
              <w:marBottom w:val="0"/>
              <w:divBdr>
                <w:top w:val="none" w:sz="0" w:space="0" w:color="auto"/>
                <w:left w:val="none" w:sz="0" w:space="0" w:color="auto"/>
                <w:bottom w:val="none" w:sz="0" w:space="0" w:color="auto"/>
                <w:right w:val="none" w:sz="0" w:space="0" w:color="auto"/>
              </w:divBdr>
              <w:divsChild>
                <w:div w:id="2818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252">
      <w:bodyDiv w:val="1"/>
      <w:marLeft w:val="0"/>
      <w:marRight w:val="0"/>
      <w:marTop w:val="0"/>
      <w:marBottom w:val="0"/>
      <w:divBdr>
        <w:top w:val="none" w:sz="0" w:space="0" w:color="auto"/>
        <w:left w:val="none" w:sz="0" w:space="0" w:color="auto"/>
        <w:bottom w:val="none" w:sz="0" w:space="0" w:color="auto"/>
        <w:right w:val="none" w:sz="0" w:space="0" w:color="auto"/>
      </w:divBdr>
      <w:divsChild>
        <w:div w:id="974680990">
          <w:marLeft w:val="0"/>
          <w:marRight w:val="0"/>
          <w:marTop w:val="0"/>
          <w:marBottom w:val="0"/>
          <w:divBdr>
            <w:top w:val="none" w:sz="0" w:space="0" w:color="auto"/>
            <w:left w:val="none" w:sz="0" w:space="0" w:color="auto"/>
            <w:bottom w:val="none" w:sz="0" w:space="0" w:color="auto"/>
            <w:right w:val="none" w:sz="0" w:space="0" w:color="auto"/>
          </w:divBdr>
          <w:divsChild>
            <w:div w:id="1101147080">
              <w:marLeft w:val="0"/>
              <w:marRight w:val="0"/>
              <w:marTop w:val="0"/>
              <w:marBottom w:val="0"/>
              <w:divBdr>
                <w:top w:val="none" w:sz="0" w:space="0" w:color="auto"/>
                <w:left w:val="none" w:sz="0" w:space="0" w:color="auto"/>
                <w:bottom w:val="none" w:sz="0" w:space="0" w:color="auto"/>
                <w:right w:val="none" w:sz="0" w:space="0" w:color="auto"/>
              </w:divBdr>
              <w:divsChild>
                <w:div w:id="21435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ption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child-maintenance" TargetMode="External"/><Relationship Id="rId4" Type="http://schemas.openxmlformats.org/officeDocument/2006/relationships/webSettings" Target="webSettings.xml"/><Relationship Id="rId9" Type="http://schemas.openxmlformats.org/officeDocument/2006/relationships/hyperlink" Target="http://www.cmoption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4804</Characters>
  <Application>Microsoft Office Word</Application>
  <DocSecurity>0</DocSecurity>
  <Lines>208</Lines>
  <Paragraphs>104</Paragraphs>
  <ScaleCrop>false</ScaleCrop>
  <HeadingPairs>
    <vt:vector size="2" baseType="variant">
      <vt:variant>
        <vt:lpstr>Title</vt:lpstr>
      </vt:variant>
      <vt:variant>
        <vt:i4>1</vt:i4>
      </vt:variant>
    </vt:vector>
  </HeadingPairs>
  <TitlesOfParts>
    <vt:vector size="1" baseType="lpstr">
      <vt:lpstr>D22</vt:lpstr>
    </vt:vector>
  </TitlesOfParts>
  <Company>NEC Computers International</Company>
  <LinksUpToDate>false</LinksUpToDate>
  <CharactersWithSpaces>5649</CharactersWithSpaces>
  <SharedDoc>false</SharedDoc>
  <HLinks>
    <vt:vector size="12" baseType="variant">
      <vt:variant>
        <vt:i4>2162788</vt:i4>
      </vt:variant>
      <vt:variant>
        <vt:i4>3</vt:i4>
      </vt:variant>
      <vt:variant>
        <vt:i4>0</vt:i4>
      </vt:variant>
      <vt:variant>
        <vt:i4>5</vt:i4>
      </vt:variant>
      <vt:variant>
        <vt:lpwstr>http://www.gov.uk/child-maintenance</vt:lpwstr>
      </vt:variant>
      <vt:variant>
        <vt:lpwstr/>
      </vt:variant>
      <vt:variant>
        <vt:i4>4653078</vt:i4>
      </vt:variant>
      <vt:variant>
        <vt:i4>0</vt:i4>
      </vt:variant>
      <vt:variant>
        <vt:i4>0</vt:i4>
      </vt:variant>
      <vt:variant>
        <vt:i4>5</vt:i4>
      </vt:variant>
      <vt:variant>
        <vt:lpwstr>http://www.cmoptions.org/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D22</dc:title>
  <dc:creator>at</dc:creator>
  <cp:lastModifiedBy>Alex Meade</cp:lastModifiedBy>
  <cp:revision>2</cp:revision>
  <cp:lastPrinted>2014-03-10T10:12:00Z</cp:lastPrinted>
  <dcterms:created xsi:type="dcterms:W3CDTF">2014-03-10T16:27:00Z</dcterms:created>
  <dcterms:modified xsi:type="dcterms:W3CDTF">2014-03-10T16:27:00Z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REC">
    <vt:bool>true</vt:bool>
  </property>
  <property fmtid="{D5CDD505-2E9C-101B-9397-08002B2CF9AE}" pid="3" name="COMPANYID">
    <vt:i4>2122615648</vt:i4>
  </property>
  <property fmtid="{D5CDD505-2E9C-101B-9397-08002B2CF9AE}" pid="4" name="SERIALNO">
    <vt:i4>11390</vt:i4>
  </property>
  <property fmtid="{D5CDD505-2E9C-101B-9397-08002B2CF9AE}" pid="5" name="PRECID">
    <vt:i4>189499</vt:i4>
  </property>
  <property fmtid="{D5CDD505-2E9C-101B-9397-08002B2CF9AE}" pid="6" name="TEXTONLY">
    <vt:bool>false</vt:bool>
  </property>
</Properties>
</file>